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D8" w:rsidRDefault="000051D8" w:rsidP="00362665">
      <w:pPr>
        <w:suppressAutoHyphens w:val="0"/>
        <w:jc w:val="center"/>
        <w:rPr>
          <w:lang w:eastAsia="hu-HU"/>
        </w:rPr>
      </w:pPr>
      <w:r>
        <w:rPr>
          <w:lang w:eastAsia="hu-HU"/>
        </w:rPr>
        <w:t xml:space="preserve">Tengelic Község Önkormányzata Képviselő-testületének 5/2019. (III.29.) önkormányzati rendelete a </w:t>
      </w:r>
      <w:r>
        <w:rPr>
          <w:bCs/>
          <w:lang w:eastAsia="hu-HU"/>
        </w:rPr>
        <w:t>Polgármesteri Hivatal fenntartásában lévő konyha által biztosított étkeztetés térítési díjának megállapításáról</w:t>
      </w:r>
      <w:bookmarkStart w:id="0" w:name="_GoBack"/>
      <w:bookmarkEnd w:id="0"/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Tengelic Község Önkormányzata Képviselő-testülete a szociális igazgatásról és szociális ellátásokról szóló 1993. évi III. törvény 92. § (1) bekezdésében, valamint a gyermekek védelméről és a gyámügyi igazgatásról szóló 1997. évi XXXI. törvény 29. § (1) </w:t>
      </w:r>
      <w:proofErr w:type="gramStart"/>
      <w:r>
        <w:rPr>
          <w:lang w:eastAsia="hu-HU"/>
        </w:rPr>
        <w:t>bekezdésében  kapott</w:t>
      </w:r>
      <w:proofErr w:type="gramEnd"/>
      <w:r>
        <w:rPr>
          <w:lang w:eastAsia="hu-HU"/>
        </w:rPr>
        <w:t xml:space="preserve"> felhatalmazás alapján, az Alaptörvény 32. cikk (1) bekezdés a) pontjában, valamint Magyarország helyi önkormányzatairól szóló 2011. évi CLXXXIX. törvény 13.§ (1) bekezdés 8. és 8a. pontjában meghatározott feladatkörében eljárva – Tengelic Község Önkormányzata Képviselő-testületének az Önkormányzat és Szervei Szervezeti és Működési Szabályzatról szóló 14/2016.(IX.15.) önkormányzati rendelet 1. mellékletében meghatározott feladatkörében eljáró Pénzügyi Bizottság és Szociális Bizottság véleményének kikérésével a következőket rendeli el:</w:t>
      </w:r>
    </w:p>
    <w:p w:rsidR="000051D8" w:rsidRDefault="000051D8" w:rsidP="000051D8">
      <w:pPr>
        <w:suppressAutoHyphens w:val="0"/>
        <w:rPr>
          <w:lang w:eastAsia="hu-HU"/>
        </w:rPr>
      </w:pPr>
    </w:p>
    <w:p w:rsidR="000051D8" w:rsidRDefault="000051D8" w:rsidP="000051D8">
      <w:pPr>
        <w:suppressAutoHyphens w:val="0"/>
        <w:ind w:left="720"/>
        <w:jc w:val="center"/>
        <w:rPr>
          <w:lang w:eastAsia="hu-HU"/>
        </w:rPr>
      </w:pPr>
      <w:r>
        <w:rPr>
          <w:lang w:eastAsia="hu-HU"/>
        </w:rPr>
        <w:t>1.Általános rendelkezések</w:t>
      </w: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 xml:space="preserve">1.§ 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1"/>
        </w:numPr>
        <w:suppressAutoHyphens w:val="0"/>
        <w:ind w:left="567"/>
        <w:jc w:val="both"/>
        <w:rPr>
          <w:lang w:eastAsia="hu-HU"/>
        </w:rPr>
      </w:pPr>
      <w:r>
        <w:rPr>
          <w:lang w:eastAsia="hu-HU"/>
        </w:rPr>
        <w:t>A rendelet hatálya kiterjed Tengelic Község Önkormányzata által fenntartott szociális alapszolgáltatási formák közül a szociális étkeztetésre, a gyermekek védelméről és a gyámügyi igazgatásról szóló 1997. évi XXXI. törvény 146.§ (1) bekezdés szerinti gyermekétkeztetésre, valamint az alkalmazotti és vendégétkeztetésre.</w:t>
      </w:r>
    </w:p>
    <w:p w:rsidR="000051D8" w:rsidRDefault="000051D8" w:rsidP="000051D8">
      <w:pPr>
        <w:suppressAutoHyphens w:val="0"/>
        <w:ind w:left="567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1"/>
        </w:numPr>
        <w:suppressAutoHyphens w:val="0"/>
        <w:ind w:left="567"/>
        <w:jc w:val="both"/>
        <w:rPr>
          <w:lang w:eastAsia="hu-HU"/>
        </w:rPr>
      </w:pPr>
      <w:r>
        <w:rPr>
          <w:lang w:eastAsia="hu-HU"/>
        </w:rPr>
        <w:t xml:space="preserve">A térítési díj megfizetésére a szociális igazgatásról és szociális ellátásokról szóló 1993. évi III. törvény (továbbiakban: Szt.) 114.§ (2) </w:t>
      </w:r>
      <w:proofErr w:type="gramStart"/>
      <w:r>
        <w:rPr>
          <w:lang w:eastAsia="hu-HU"/>
        </w:rPr>
        <w:t>bekezdésében</w:t>
      </w:r>
      <w:proofErr w:type="gramEnd"/>
      <w:r>
        <w:rPr>
          <w:lang w:eastAsia="hu-HU"/>
        </w:rPr>
        <w:t xml:space="preserve"> valamint a Gyvt. 146.§ (2) bekezdésében meghatározott személyek kötelesek. </w:t>
      </w:r>
    </w:p>
    <w:p w:rsidR="000051D8" w:rsidRDefault="000051D8" w:rsidP="000051D8">
      <w:pPr>
        <w:suppressAutoHyphens w:val="0"/>
        <w:ind w:left="567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1"/>
        </w:numPr>
        <w:suppressAutoHyphens w:val="0"/>
        <w:ind w:left="567"/>
        <w:jc w:val="both"/>
        <w:rPr>
          <w:lang w:eastAsia="hu-HU"/>
        </w:rPr>
      </w:pPr>
      <w:r>
        <w:rPr>
          <w:lang w:eastAsia="hu-HU"/>
        </w:rPr>
        <w:t>Az ingyenes ellátásban részesülők körét az Szt. 114.§ (3) bekezdése határozza meg.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>2.Térítési díjak</w:t>
      </w: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>2.§.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pStyle w:val="Listaszerbekezds"/>
        <w:numPr>
          <w:ilvl w:val="0"/>
          <w:numId w:val="2"/>
        </w:num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Az Szt. 62.§-a szerinti étkeztetés - állami hozzájárulással csökkentett - intézményi térítési </w:t>
      </w:r>
      <w:proofErr w:type="gramStart"/>
      <w:r>
        <w:rPr>
          <w:lang w:eastAsia="hu-HU"/>
        </w:rPr>
        <w:t xml:space="preserve">díja:   </w:t>
      </w:r>
      <w:proofErr w:type="gramEnd"/>
      <w:r>
        <w:rPr>
          <w:lang w:eastAsia="hu-HU"/>
        </w:rPr>
        <w:t xml:space="preserve">       </w:t>
      </w:r>
      <w:r>
        <w:rPr>
          <w:b/>
          <w:lang w:eastAsia="hu-HU"/>
        </w:rPr>
        <w:t>480.-Ft/nap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2"/>
        </w:numPr>
        <w:suppressAutoHyphens w:val="0"/>
        <w:jc w:val="both"/>
        <w:rPr>
          <w:lang w:eastAsia="hu-HU"/>
        </w:rPr>
      </w:pPr>
      <w:r>
        <w:rPr>
          <w:lang w:eastAsia="hu-HU"/>
        </w:rPr>
        <w:t>Gyermekétkeztetés intézményi térítési díja:</w:t>
      </w:r>
    </w:p>
    <w:p w:rsidR="000051D8" w:rsidRDefault="000051D8" w:rsidP="000051D8">
      <w:pPr>
        <w:suppressAutoHyphens w:val="0"/>
        <w:ind w:left="705" w:hanging="705"/>
        <w:jc w:val="both"/>
        <w:rPr>
          <w:lang w:eastAsia="hu-HU"/>
        </w:rPr>
      </w:pPr>
    </w:p>
    <w:p w:rsidR="000051D8" w:rsidRDefault="000051D8" w:rsidP="000051D8">
      <w:pPr>
        <w:suppressAutoHyphens w:val="0"/>
        <w:ind w:firstLine="705"/>
        <w:jc w:val="both"/>
        <w:rPr>
          <w:lang w:eastAsia="hu-HU"/>
        </w:rPr>
      </w:pPr>
      <w:r>
        <w:rPr>
          <w:lang w:eastAsia="hu-HU"/>
        </w:rPr>
        <w:t xml:space="preserve">a) Óvodai étkeztetés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</w:t>
      </w:r>
      <w:r>
        <w:rPr>
          <w:b/>
          <w:lang w:eastAsia="hu-HU"/>
        </w:rPr>
        <w:t>390.- Ft/nap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</w:t>
      </w:r>
      <w:r>
        <w:rPr>
          <w:lang w:eastAsia="hu-HU"/>
        </w:rPr>
        <w:tab/>
        <w:t xml:space="preserve">        - ebből: </w:t>
      </w:r>
    </w:p>
    <w:p w:rsidR="000051D8" w:rsidRDefault="000051D8" w:rsidP="000051D8">
      <w:pPr>
        <w:suppressAutoHyphens w:val="0"/>
        <w:ind w:left="708" w:firstLine="708"/>
        <w:jc w:val="both"/>
        <w:rPr>
          <w:lang w:eastAsia="hu-HU"/>
        </w:rPr>
      </w:pPr>
      <w:r>
        <w:rPr>
          <w:lang w:eastAsia="hu-HU"/>
        </w:rPr>
        <w:t xml:space="preserve">tízórai: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ab/>
        <w:t xml:space="preserve">  </w:t>
      </w:r>
      <w:r>
        <w:rPr>
          <w:lang w:eastAsia="hu-HU"/>
        </w:rPr>
        <w:tab/>
      </w:r>
      <w:proofErr w:type="gramEnd"/>
      <w:r>
        <w:rPr>
          <w:lang w:eastAsia="hu-HU"/>
        </w:rPr>
        <w:t>78</w:t>
      </w:r>
      <w:r>
        <w:rPr>
          <w:b/>
          <w:lang w:eastAsia="hu-HU"/>
        </w:rPr>
        <w:t xml:space="preserve">.- </w:t>
      </w:r>
      <w:r>
        <w:rPr>
          <w:lang w:eastAsia="hu-HU"/>
        </w:rPr>
        <w:t>Ft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</w:t>
      </w:r>
      <w:r>
        <w:rPr>
          <w:lang w:eastAsia="hu-HU"/>
        </w:rPr>
        <w:tab/>
        <w:t xml:space="preserve">ebéd: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255.- Ft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</w:t>
      </w:r>
      <w:r>
        <w:rPr>
          <w:lang w:eastAsia="hu-HU"/>
        </w:rPr>
        <w:tab/>
        <w:t xml:space="preserve">uzsonna: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ab/>
        <w:t xml:space="preserve">  </w:t>
      </w:r>
      <w:r>
        <w:rPr>
          <w:lang w:eastAsia="hu-HU"/>
        </w:rPr>
        <w:tab/>
      </w:r>
      <w:proofErr w:type="gramEnd"/>
      <w:r>
        <w:rPr>
          <w:lang w:eastAsia="hu-HU"/>
        </w:rPr>
        <w:t>57.- Ft + ÁFA</w:t>
      </w:r>
    </w:p>
    <w:p w:rsidR="000051D8" w:rsidRDefault="000051D8" w:rsidP="000051D8">
      <w:pPr>
        <w:suppressAutoHyphens w:val="0"/>
        <w:ind w:firstLine="708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lastRenderedPageBreak/>
        <w:t xml:space="preserve">           b) Iskolai étkeztetés:    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  </w:t>
      </w:r>
    </w:p>
    <w:p w:rsidR="000051D8" w:rsidRDefault="000051D8" w:rsidP="000051D8">
      <w:pPr>
        <w:suppressAutoHyphens w:val="0"/>
        <w:ind w:left="720"/>
        <w:jc w:val="both"/>
        <w:rPr>
          <w:lang w:eastAsia="hu-HU"/>
        </w:rPr>
      </w:pPr>
      <w:r>
        <w:rPr>
          <w:lang w:eastAsia="hu-HU"/>
        </w:rPr>
        <w:t xml:space="preserve">    </w:t>
      </w:r>
      <w:proofErr w:type="spellStart"/>
      <w:r>
        <w:rPr>
          <w:lang w:eastAsia="hu-HU"/>
        </w:rPr>
        <w:t>ba</w:t>
      </w:r>
      <w:proofErr w:type="spellEnd"/>
      <w:r>
        <w:rPr>
          <w:lang w:eastAsia="hu-HU"/>
        </w:rPr>
        <w:t xml:space="preserve">) menzás tanulók </w:t>
      </w:r>
      <w:proofErr w:type="gramStart"/>
      <w:r>
        <w:rPr>
          <w:lang w:eastAsia="hu-HU"/>
        </w:rPr>
        <w:t>( ebéd</w:t>
      </w:r>
      <w:proofErr w:type="gramEnd"/>
      <w:r>
        <w:rPr>
          <w:lang w:eastAsia="hu-HU"/>
        </w:rPr>
        <w:t xml:space="preserve">)                                   </w:t>
      </w:r>
      <w:r>
        <w:rPr>
          <w:b/>
          <w:lang w:eastAsia="hu-HU"/>
        </w:rPr>
        <w:t>329.-Ft/nap + ÁFA</w:t>
      </w:r>
      <w:r>
        <w:rPr>
          <w:lang w:eastAsia="hu-HU"/>
        </w:rPr>
        <w:t xml:space="preserve">    </w:t>
      </w:r>
    </w:p>
    <w:p w:rsidR="000051D8" w:rsidRDefault="000051D8" w:rsidP="000051D8">
      <w:pPr>
        <w:suppressAutoHyphens w:val="0"/>
        <w:ind w:firstLine="708"/>
        <w:jc w:val="both"/>
        <w:rPr>
          <w:lang w:eastAsia="hu-HU"/>
        </w:rPr>
      </w:pPr>
      <w:r>
        <w:rPr>
          <w:lang w:eastAsia="hu-HU"/>
        </w:rPr>
        <w:t xml:space="preserve">    </w:t>
      </w:r>
      <w:proofErr w:type="spellStart"/>
      <w:r>
        <w:rPr>
          <w:lang w:eastAsia="hu-HU"/>
        </w:rPr>
        <w:t>bb</w:t>
      </w:r>
      <w:proofErr w:type="spellEnd"/>
      <w:r>
        <w:rPr>
          <w:lang w:eastAsia="hu-HU"/>
        </w:rPr>
        <w:t xml:space="preserve">) </w:t>
      </w:r>
      <w:proofErr w:type="spellStart"/>
      <w:r>
        <w:rPr>
          <w:lang w:eastAsia="hu-HU"/>
        </w:rPr>
        <w:t>napközis</w:t>
      </w:r>
      <w:proofErr w:type="spellEnd"/>
      <w:r>
        <w:rPr>
          <w:lang w:eastAsia="hu-HU"/>
        </w:rPr>
        <w:t xml:space="preserve"> tanulók                                             </w:t>
      </w:r>
      <w:r>
        <w:rPr>
          <w:b/>
          <w:lang w:eastAsia="hu-HU"/>
        </w:rPr>
        <w:t>504.-Ft/nap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 - ebből: </w:t>
      </w:r>
    </w:p>
    <w:p w:rsidR="000051D8" w:rsidRDefault="000051D8" w:rsidP="000051D8">
      <w:pPr>
        <w:suppressAutoHyphens w:val="0"/>
        <w:ind w:left="1068" w:firstLine="348"/>
        <w:jc w:val="both"/>
        <w:rPr>
          <w:lang w:eastAsia="hu-HU"/>
        </w:rPr>
      </w:pPr>
      <w:r>
        <w:rPr>
          <w:lang w:eastAsia="hu-HU"/>
        </w:rPr>
        <w:t xml:space="preserve">tízórai: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100</w:t>
      </w:r>
      <w:r>
        <w:rPr>
          <w:b/>
          <w:lang w:eastAsia="hu-HU"/>
        </w:rPr>
        <w:t xml:space="preserve">.- </w:t>
      </w:r>
      <w:r>
        <w:rPr>
          <w:lang w:eastAsia="hu-HU"/>
        </w:rPr>
        <w:t>Ft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</w:t>
      </w:r>
      <w:r>
        <w:rPr>
          <w:lang w:eastAsia="hu-HU"/>
        </w:rPr>
        <w:tab/>
        <w:t xml:space="preserve">ebéd: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329.- Ft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</w:t>
      </w:r>
      <w:r>
        <w:rPr>
          <w:lang w:eastAsia="hu-HU"/>
        </w:rPr>
        <w:tab/>
        <w:t xml:space="preserve">uzsonna: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ab/>
        <w:t xml:space="preserve">  75.</w:t>
      </w:r>
      <w:proofErr w:type="gramEnd"/>
      <w:r>
        <w:rPr>
          <w:lang w:eastAsia="hu-HU"/>
        </w:rPr>
        <w:t>- Ft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ind w:left="720"/>
        <w:jc w:val="both"/>
        <w:rPr>
          <w:b/>
          <w:lang w:eastAsia="hu-HU"/>
        </w:rPr>
      </w:pPr>
    </w:p>
    <w:p w:rsidR="000051D8" w:rsidRDefault="000051D8" w:rsidP="000051D8">
      <w:pPr>
        <w:numPr>
          <w:ilvl w:val="0"/>
          <w:numId w:val="2"/>
        </w:numPr>
        <w:suppressAutoHyphens w:val="0"/>
        <w:jc w:val="both"/>
        <w:rPr>
          <w:b/>
          <w:lang w:eastAsia="hu-HU"/>
        </w:rPr>
      </w:pPr>
      <w:r>
        <w:rPr>
          <w:lang w:eastAsia="hu-HU"/>
        </w:rPr>
        <w:t xml:space="preserve">Az alkalmazottak és a vendégétkezők intézményi térítési díja: </w:t>
      </w:r>
      <w:r>
        <w:rPr>
          <w:b/>
          <w:lang w:eastAsia="hu-HU"/>
        </w:rPr>
        <w:t>653.-Ft/adag + ÁFA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>3.§.</w:t>
      </w: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ind w:left="284"/>
        <w:jc w:val="both"/>
        <w:rPr>
          <w:lang w:eastAsia="hu-HU"/>
        </w:rPr>
      </w:pPr>
      <w:r>
        <w:rPr>
          <w:lang w:eastAsia="hu-HU"/>
        </w:rPr>
        <w:t xml:space="preserve">Azon gyermekek esetében, akik normatív kedvezményben nem részesülnek az önkormányzat 13 % térítési </w:t>
      </w:r>
      <w:proofErr w:type="gramStart"/>
      <w:r>
        <w:rPr>
          <w:lang w:eastAsia="hu-HU"/>
        </w:rPr>
        <w:t>díj kedvezményt</w:t>
      </w:r>
      <w:proofErr w:type="gramEnd"/>
      <w:r>
        <w:rPr>
          <w:lang w:eastAsia="hu-HU"/>
        </w:rPr>
        <w:t xml:space="preserve"> biztosít.</w:t>
      </w: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>3.Záró rendelkezések</w:t>
      </w:r>
    </w:p>
    <w:p w:rsidR="000051D8" w:rsidRDefault="000051D8" w:rsidP="000051D8">
      <w:pPr>
        <w:suppressAutoHyphens w:val="0"/>
        <w:jc w:val="center"/>
        <w:rPr>
          <w:lang w:eastAsia="hu-HU"/>
        </w:rPr>
      </w:pPr>
    </w:p>
    <w:p w:rsidR="000051D8" w:rsidRDefault="000051D8" w:rsidP="000051D8">
      <w:pPr>
        <w:suppressAutoHyphens w:val="0"/>
        <w:jc w:val="center"/>
        <w:rPr>
          <w:lang w:eastAsia="hu-HU"/>
        </w:rPr>
      </w:pPr>
      <w:r>
        <w:rPr>
          <w:lang w:eastAsia="hu-HU"/>
        </w:rPr>
        <w:t>4.§.</w:t>
      </w:r>
    </w:p>
    <w:p w:rsidR="000051D8" w:rsidRDefault="000051D8" w:rsidP="000051D8">
      <w:pPr>
        <w:suppressAutoHyphens w:val="0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3"/>
        </w:numPr>
        <w:suppressAutoHyphens w:val="0"/>
        <w:jc w:val="both"/>
        <w:rPr>
          <w:lang w:eastAsia="hu-HU"/>
        </w:rPr>
      </w:pPr>
      <w:r>
        <w:rPr>
          <w:lang w:eastAsia="hu-HU"/>
        </w:rPr>
        <w:t>Ez a rendelet 2019. május 1-jén lép hatályba.</w:t>
      </w:r>
    </w:p>
    <w:p w:rsidR="000051D8" w:rsidRDefault="000051D8" w:rsidP="000051D8">
      <w:pPr>
        <w:suppressAutoHyphens w:val="0"/>
        <w:ind w:left="720"/>
        <w:jc w:val="both"/>
        <w:rPr>
          <w:lang w:eastAsia="hu-HU"/>
        </w:rPr>
      </w:pPr>
    </w:p>
    <w:p w:rsidR="000051D8" w:rsidRDefault="000051D8" w:rsidP="000051D8">
      <w:pPr>
        <w:numPr>
          <w:ilvl w:val="0"/>
          <w:numId w:val="3"/>
        </w:num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Hatályát veszti az Önkormányzat által fenntartott konyha által biztosított étkeztetés térítési díjának megállapításáról szóló 4/2016. (III.24.) önkormányzati rendelet. </w:t>
      </w:r>
    </w:p>
    <w:p w:rsidR="000051D8" w:rsidRDefault="000051D8" w:rsidP="000051D8">
      <w:pPr>
        <w:suppressAutoHyphens w:val="0"/>
        <w:ind w:left="708"/>
        <w:rPr>
          <w:lang w:eastAsia="hu-HU"/>
        </w:rPr>
      </w:pPr>
    </w:p>
    <w:p w:rsidR="000051D8" w:rsidRDefault="000051D8" w:rsidP="000051D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Tengelic, 2019. március </w:t>
      </w:r>
      <w:r w:rsidR="006E6611">
        <w:rPr>
          <w:lang w:eastAsia="hu-HU"/>
        </w:rPr>
        <w:t>27</w:t>
      </w:r>
      <w:r>
        <w:rPr>
          <w:lang w:eastAsia="hu-HU"/>
        </w:rPr>
        <w:t>.</w:t>
      </w:r>
    </w:p>
    <w:p w:rsidR="000051D8" w:rsidRDefault="000051D8" w:rsidP="000051D8">
      <w:pPr>
        <w:suppressAutoHyphens w:val="0"/>
        <w:rPr>
          <w:lang w:eastAsia="hu-HU"/>
        </w:rPr>
      </w:pPr>
    </w:p>
    <w:p w:rsidR="000051D8" w:rsidRDefault="000051D8" w:rsidP="000051D8">
      <w:pPr>
        <w:suppressAutoHyphens w:val="0"/>
        <w:rPr>
          <w:lang w:eastAsia="hu-HU"/>
        </w:rPr>
      </w:pPr>
    </w:p>
    <w:p w:rsidR="000051D8" w:rsidRDefault="000051D8" w:rsidP="000051D8">
      <w:pPr>
        <w:suppressAutoHyphens w:val="0"/>
        <w:ind w:left="708" w:firstLine="708"/>
        <w:rPr>
          <w:lang w:eastAsia="hu-HU"/>
        </w:rPr>
      </w:pPr>
      <w:r>
        <w:rPr>
          <w:lang w:eastAsia="hu-HU"/>
        </w:rPr>
        <w:t xml:space="preserve">Gáncs István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="006E6611">
        <w:rPr>
          <w:lang w:eastAsia="hu-HU"/>
        </w:rPr>
        <w:t xml:space="preserve">         </w:t>
      </w:r>
      <w:r>
        <w:rPr>
          <w:lang w:eastAsia="hu-HU"/>
        </w:rPr>
        <w:t xml:space="preserve">Tolnai Lászlóné </w:t>
      </w:r>
    </w:p>
    <w:p w:rsidR="000051D8" w:rsidRDefault="000051D8" w:rsidP="000051D8">
      <w:pPr>
        <w:suppressAutoHyphens w:val="0"/>
        <w:ind w:left="708" w:firstLine="708"/>
        <w:rPr>
          <w:lang w:eastAsia="hu-HU"/>
        </w:rPr>
      </w:pPr>
      <w:r>
        <w:rPr>
          <w:lang w:eastAsia="hu-HU"/>
        </w:rPr>
        <w:t>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jegyző</w:t>
      </w:r>
    </w:p>
    <w:p w:rsidR="000051D8" w:rsidRDefault="000051D8" w:rsidP="000051D8">
      <w:pPr>
        <w:suppressAutoHyphens w:val="0"/>
        <w:rPr>
          <w:lang w:eastAsia="hu-HU"/>
        </w:rPr>
      </w:pPr>
    </w:p>
    <w:p w:rsidR="000051D8" w:rsidRDefault="000051D8" w:rsidP="000051D8">
      <w:pPr>
        <w:suppressAutoHyphens w:val="0"/>
        <w:rPr>
          <w:lang w:eastAsia="hu-HU"/>
        </w:rPr>
      </w:pPr>
    </w:p>
    <w:p w:rsidR="000051D8" w:rsidRDefault="000051D8" w:rsidP="000051D8">
      <w:pPr>
        <w:keepLines/>
        <w:suppressAutoHyphens w:val="0"/>
        <w:jc w:val="both"/>
        <w:rPr>
          <w:b/>
          <w:color w:val="000000"/>
        </w:rPr>
      </w:pPr>
    </w:p>
    <w:p w:rsidR="00E44C9C" w:rsidRDefault="006E6611">
      <w:r>
        <w:t>Kihirdetve: 2019. március 29.</w:t>
      </w:r>
    </w:p>
    <w:p w:rsidR="006E6611" w:rsidRDefault="006E6611"/>
    <w:p w:rsidR="006E6611" w:rsidRDefault="006E6611">
      <w:r>
        <w:t xml:space="preserve">                                                             Tolnai Lászlóné</w:t>
      </w:r>
    </w:p>
    <w:p w:rsidR="006E6611" w:rsidRDefault="006E6611">
      <w:r>
        <w:t xml:space="preserve">                                                                 jegyző</w:t>
      </w:r>
    </w:p>
    <w:sectPr w:rsidR="006E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47459"/>
    <w:multiLevelType w:val="hybridMultilevel"/>
    <w:tmpl w:val="DDA6CE54"/>
    <w:lvl w:ilvl="0" w:tplc="E734670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1642D"/>
    <w:multiLevelType w:val="hybridMultilevel"/>
    <w:tmpl w:val="8F7ABEE2"/>
    <w:lvl w:ilvl="0" w:tplc="64325B1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2071"/>
    <w:multiLevelType w:val="hybridMultilevel"/>
    <w:tmpl w:val="E460DEFE"/>
    <w:lvl w:ilvl="0" w:tplc="DC52AF4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D8"/>
    <w:rsid w:val="000051D8"/>
    <w:rsid w:val="00134189"/>
    <w:rsid w:val="00362665"/>
    <w:rsid w:val="004126B7"/>
    <w:rsid w:val="006E6611"/>
    <w:rsid w:val="00B17518"/>
    <w:rsid w:val="00C735C0"/>
    <w:rsid w:val="00D7118B"/>
    <w:rsid w:val="00DE0296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2DA6-6C73-4010-8127-C5D3112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51D8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2</cp:revision>
  <dcterms:created xsi:type="dcterms:W3CDTF">2019-04-03T08:22:00Z</dcterms:created>
  <dcterms:modified xsi:type="dcterms:W3CDTF">2019-04-03T08:22:00Z</dcterms:modified>
</cp:coreProperties>
</file>